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Д</w:t>
      </w:r>
      <w:r>
        <w:rPr>
          <w:rFonts w:ascii="Times New Roman" w:eastAsia="Times New Roman" w:hAnsi="Times New Roman" w:cs="Times New Roman"/>
          <w:sz w:val="22"/>
          <w:szCs w:val="22"/>
        </w:rPr>
        <w:t>ело № 5-</w:t>
      </w:r>
      <w:r>
        <w:rPr>
          <w:rFonts w:ascii="Times New Roman" w:eastAsia="Times New Roman" w:hAnsi="Times New Roman" w:cs="Times New Roman"/>
          <w:sz w:val="22"/>
          <w:szCs w:val="22"/>
        </w:rPr>
        <w:t>26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200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/20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12"/>
          <w:szCs w:val="12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21 января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г. Нефтеюганск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</w:p>
    <w:p>
      <w:pPr>
        <w:spacing w:before="0" w:after="0"/>
        <w:jc w:val="both"/>
        <w:rPr>
          <w:sz w:val="12"/>
          <w:szCs w:val="12"/>
        </w:rPr>
      </w:pP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Нефтеюганского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>Агзямова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sz w:val="26"/>
          <w:szCs w:val="26"/>
        </w:rPr>
        <w:t>628309, ХМАО-Югра, г. Нефтеюганск, 1 мкр-н, дом 30</w:t>
      </w:r>
      <w:r>
        <w:rPr>
          <w:rFonts w:ascii="Times New Roman" w:eastAsia="Times New Roman" w:hAnsi="Times New Roman" w:cs="Times New Roman"/>
          <w:sz w:val="26"/>
          <w:szCs w:val="26"/>
        </w:rPr>
        <w:t>), рассмотрев в открытом судебном заседании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Литвина Виталия Александровича, </w:t>
      </w:r>
      <w:r>
        <w:rPr>
          <w:rStyle w:val="cat-ExternalSystemDefinedgrp-44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35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являющегося конкурсным управляющим АО УК «Городское Домо Управление 5», зарегистрированного и </w:t>
      </w:r>
      <w:r>
        <w:rPr>
          <w:rStyle w:val="cat-PassportDatagrp-36rplc-9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ExternalSystemDefinedgrp-43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42rplc-1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>
      <w:pPr>
        <w:spacing w:before="0" w:after="0"/>
        <w:jc w:val="both"/>
        <w:rPr>
          <w:sz w:val="12"/>
          <w:szCs w:val="12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Л:</w:t>
      </w:r>
    </w:p>
    <w:p>
      <w:pPr>
        <w:spacing w:before="0" w:after="0"/>
        <w:jc w:val="center"/>
        <w:rPr>
          <w:sz w:val="12"/>
          <w:szCs w:val="12"/>
        </w:rPr>
      </w:pP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Литвин В.А., являясь конкурсным управляющим АО УК «Городское Домо Управление 5», зарегистрированного по адресу: ХМАО-Югра, г. Нефтеюганск, ул. Парковая, д. 30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нарушение п. 7 ст. 431 НК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РФ, до </w:t>
      </w:r>
      <w:r>
        <w:rPr>
          <w:rFonts w:ascii="Times New Roman" w:eastAsia="Times New Roman" w:hAnsi="Times New Roman" w:cs="Times New Roman"/>
          <w:sz w:val="26"/>
          <w:szCs w:val="26"/>
        </w:rPr>
        <w:t>28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представил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установленный срок в налоговый орган по месту учета – межрайонную ИФНС России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7 по Ханты-Мансийскому автономному округу – Югре, налоговый расчет по страховым взносам за 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месяц</w:t>
      </w:r>
      <w:r>
        <w:rPr>
          <w:rFonts w:ascii="Times New Roman" w:eastAsia="Times New Roman" w:hAnsi="Times New Roman" w:cs="Times New Roman"/>
          <w:sz w:val="26"/>
          <w:szCs w:val="26"/>
        </w:rPr>
        <w:t>ев</w:t>
      </w:r>
      <w:r>
        <w:rPr>
          <w:rFonts w:ascii="Times New Roman" w:eastAsia="Times New Roman" w:hAnsi="Times New Roman" w:cs="Times New Roman"/>
          <w:sz w:val="26"/>
          <w:szCs w:val="26"/>
        </w:rPr>
        <w:t>, квартальный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Срок представления налогового расчета по страховым взносам за </w:t>
      </w:r>
      <w:r>
        <w:rPr>
          <w:rFonts w:ascii="Times New Roman" w:eastAsia="Times New Roman" w:hAnsi="Times New Roman" w:cs="Times New Roman"/>
          <w:sz w:val="26"/>
          <w:szCs w:val="26"/>
        </w:rPr>
        <w:t>9 месяцев</w:t>
      </w:r>
      <w:r>
        <w:rPr>
          <w:rFonts w:ascii="Times New Roman" w:eastAsia="Times New Roman" w:hAnsi="Times New Roman" w:cs="Times New Roman"/>
          <w:sz w:val="26"/>
          <w:szCs w:val="26"/>
        </w:rPr>
        <w:t>, квартальный 202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5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– не позднее 24:00 часов </w:t>
      </w:r>
      <w:r>
        <w:rPr>
          <w:rFonts w:ascii="Times New Roman" w:eastAsia="Times New Roman" w:hAnsi="Times New Roman" w:cs="Times New Roman"/>
          <w:sz w:val="26"/>
          <w:szCs w:val="26"/>
        </w:rPr>
        <w:t>27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фактически налоговый расчет по страховым взносам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>
        <w:rPr>
          <w:rFonts w:ascii="Times New Roman" w:eastAsia="Times New Roman" w:hAnsi="Times New Roman" w:cs="Times New Roman"/>
          <w:sz w:val="26"/>
          <w:szCs w:val="26"/>
        </w:rPr>
        <w:t>9 месяцев</w:t>
      </w:r>
      <w:r>
        <w:rPr>
          <w:rFonts w:ascii="Times New Roman" w:eastAsia="Times New Roman" w:hAnsi="Times New Roman" w:cs="Times New Roman"/>
          <w:sz w:val="26"/>
          <w:szCs w:val="26"/>
        </w:rPr>
        <w:t>, квартальный 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представлен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30.10.2025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6"/>
          <w:szCs w:val="26"/>
        </w:rPr>
        <w:t>Литвин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</w:t>
      </w:r>
      <w:r>
        <w:rPr>
          <w:rFonts w:ascii="Times New Roman" w:eastAsia="Times New Roman" w:hAnsi="Times New Roman" w:cs="Times New Roman"/>
          <w:sz w:val="26"/>
          <w:szCs w:val="26"/>
        </w:rPr>
        <w:t>извещенный надлежащим образом о времени и месте рассмотрения административного материала, не явился, о причинах неявки суд не уведомил, ходатайств об отложении дела от него не поступало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Литвина В.А</w:t>
      </w:r>
      <w:r>
        <w:rPr>
          <w:rFonts w:ascii="Times New Roman" w:eastAsia="Times New Roman" w:hAnsi="Times New Roman" w:cs="Times New Roman"/>
          <w:sz w:val="26"/>
          <w:szCs w:val="26"/>
        </w:rPr>
        <w:t>. в его отсутствие.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исследовав материалы дела, считает, что вина </w:t>
      </w:r>
      <w:r>
        <w:rPr>
          <w:rFonts w:ascii="Times New Roman" w:eastAsia="Times New Roman" w:hAnsi="Times New Roman" w:cs="Times New Roman"/>
          <w:sz w:val="26"/>
          <w:szCs w:val="26"/>
        </w:rPr>
        <w:t>Литвина В.А</w:t>
      </w:r>
      <w:r>
        <w:rPr>
          <w:rFonts w:ascii="Times New Roman" w:eastAsia="Times New Roman" w:hAnsi="Times New Roman" w:cs="Times New Roman"/>
          <w:sz w:val="26"/>
          <w:szCs w:val="26"/>
        </w:rPr>
        <w:t>. в совершении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Style w:val="cat-UserDefinedgrp-45rplc-2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08.12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</w:t>
      </w:r>
      <w:r>
        <w:rPr>
          <w:rFonts w:ascii="Times New Roman" w:eastAsia="Times New Roman" w:hAnsi="Times New Roman" w:cs="Times New Roman"/>
          <w:sz w:val="26"/>
          <w:szCs w:val="26"/>
        </w:rPr>
        <w:t>которому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Литвин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В.А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представил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установленный срок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налоговый орган по месту учета – межрайонную ИФНС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России №7 по Ханты-Мансийскому автономному округу – Югре, налоговый расчет по страховым взносам за </w:t>
      </w:r>
      <w:r>
        <w:rPr>
          <w:rFonts w:ascii="Times New Roman" w:eastAsia="Times New Roman" w:hAnsi="Times New Roman" w:cs="Times New Roman"/>
          <w:sz w:val="26"/>
          <w:szCs w:val="26"/>
        </w:rPr>
        <w:t>9 месяцев</w:t>
      </w:r>
      <w:r>
        <w:rPr>
          <w:rFonts w:ascii="Times New Roman" w:eastAsia="Times New Roman" w:hAnsi="Times New Roman" w:cs="Times New Roman"/>
          <w:sz w:val="26"/>
          <w:szCs w:val="26"/>
        </w:rPr>
        <w:t>, квартальный 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- списком внутренних почтовых отправлений о направлении копии протокола об административном правонарушении;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уведомлением о времени и месте составления протокола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19.11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списком внутренних почтовых отправлений о </w:t>
      </w:r>
      <w:r>
        <w:rPr>
          <w:rFonts w:ascii="Times New Roman" w:eastAsia="Times New Roman" w:hAnsi="Times New Roman" w:cs="Times New Roman"/>
          <w:sz w:val="26"/>
          <w:szCs w:val="26"/>
        </w:rPr>
        <w:t>направлении уведомления о времени и месте составления протокола; отчетом об отслеживании отправления с почтовым идентификатором;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квитанцией о приеме налоговой декларации (расчета), бухгалтерской (финансовой) отчетности в электронной форме от </w:t>
      </w:r>
      <w:r>
        <w:rPr>
          <w:rFonts w:ascii="Times New Roman" w:eastAsia="Times New Roman" w:hAnsi="Times New Roman" w:cs="Times New Roman"/>
          <w:sz w:val="26"/>
          <w:szCs w:val="26"/>
        </w:rPr>
        <w:t>30.10.2025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выпиской из Единого государст</w:t>
      </w:r>
      <w:r>
        <w:rPr>
          <w:rFonts w:ascii="Times New Roman" w:eastAsia="Times New Roman" w:hAnsi="Times New Roman" w:cs="Times New Roman"/>
          <w:sz w:val="26"/>
          <w:szCs w:val="26"/>
        </w:rPr>
        <w:t>венного реестра юридических лиц.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подп. 4 п. 3 ст. 24 Налогового кодекса РФ, налоговые агенты обязаны предоставить в налоговый орган по месту своего учета документы, необходимые для осуществления контроля, за правильностью исчисления, удержания и перечисления налогов.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Согласно подп. 3 п. 3.4 ст.23 Налогового кодекса РФ,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плательщики страховых взносов обязаны представлять в установленном порядке в налоговый орган по месту учета расчеты по страховым взносам.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п. 1 ст. 419 Налогового кодекса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плательщиками страховых взносов признаются следующие лица, являющиеся страхователями в соответствии с федеральными законами о конкретных видах обязательного социального страхования: лица, производящие выплаты и иные вознаграждения физическим лицам: организации; индивидуальные предприниматели; физические лица, не являющиеся индивидуальными предпринимателями; индивидуальные предприниматели, адвокаты, медиаторы, нотариусы,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законодательством Российской Федерации порядке частной практикой.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п. 7 ст. 431 Налогового кодекса РФ плательщики, указанные в п.п. 1 п. 1 ст. 419 настоящего Кодекса (за исключением физических лиц, производящих выплаты, указанные в п.п. 3 п. 3 ст. 422НК РФ), представляют расчет по страховым взносам не позднее </w:t>
      </w:r>
      <w:r>
        <w:rPr>
          <w:rFonts w:ascii="Times New Roman" w:eastAsia="Times New Roman" w:hAnsi="Times New Roman" w:cs="Times New Roman"/>
          <w:sz w:val="26"/>
          <w:szCs w:val="26"/>
        </w:rPr>
        <w:t>25</w:t>
      </w:r>
      <w:r>
        <w:rPr>
          <w:rFonts w:ascii="Times New Roman" w:eastAsia="Times New Roman" w:hAnsi="Times New Roman" w:cs="Times New Roman"/>
          <w:sz w:val="26"/>
          <w:szCs w:val="26"/>
        </w:rPr>
        <w:t>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Согласно ст. 423 Налогового кодекса РФ, расчетным периодом признается календарный год; отчетными периодами признаются первый квартал, полугодие, девять месяцев календарного года.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Пунктом 7 статьи 3 Федерального закона от 06.12.2011 г. № 402-ФЗ «О бухгалтерском учете», определено, что руководитель экономического субъекта - лицо, являющееся единоличным исполнительным органом экономического субъекта, либо лицо, ответственное за ведение дел экономического субъекта, либо управляющий, которому переданы функции единоличного исполнительного органа.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Согласно ч. 1 ст. 7 Федерального закона от 06.12.2011 года № 402-ФЗ «О бухгалтерском учете», ведение бухгалтерского учета и хранение документов бухгалтерского учёта организуется руководителем экономического субъекта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 постановлении Пленума Высшего Арбитражного Суда Российской Федерации от 22.06.2012 N 35 "О некоторых процессуальных вопросах, связанных с рассмотрением дел о банкротстве" разъяснено, что срок, на который первоначально вводится конкурсное производство, указывается в решении о признании должника банкротом и исчисляется с даты принятия такого решения (а в случае отдельного объявления его резолютивной части - с даты ее объявления).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Согласно ч. 2 ст. 126 Федерального закона от 26.10.2002 г. N 127-ФЗ "О несостоятельности (банкротстве)" с даты принятия арбитражным судом решения о признании должника банкротом и об открытии конкурсного производства прекращаются полномочия руководителя должника, иных органов управления должника и собственника имущества должника - унитарного предприятия (за исключением полномочий общего собрания участников должника, собственника имущества должника принимать решения о заключении соглашений об условиях предоставления денежных средств третьим лицом или третьими лицами для исполнения обязательств должника). Руководитель должника, а также временный управляющий, административный управляющий, внешний управляющий в течение трех дней с даты утверждения конкурсного управляющего обязаны обеспечить передачу бухгалтерской и иной документации должника, печатей, штампов, материальных и иных ценностей конкурсному управляющему.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 1 ст. 126 Федерального закона от 26.10.2002 г. N 127-ФЗ "О несостоятельности (банкротстве)" исполнение обязательств должника, в том числе по исполнению судебных актов, актов иных органов, должностных лиц, вынесенных в соответствии с гражданским законодательством, уголовным законодательством Российской Федерации, процессуальным законодательством и законодательством Российской Федерации о налогах и сборах, осуществляется конкурсным управляющим.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>Литвина В.А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 квалифицирует по ст. 15.5 Кодекса Российской Федерации об административных правонарушениях, как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наказания судья учитывает характер совершенного правонарушения, личность </w:t>
      </w:r>
      <w:r>
        <w:rPr>
          <w:rFonts w:ascii="Times New Roman" w:eastAsia="Times New Roman" w:hAnsi="Times New Roman" w:cs="Times New Roman"/>
          <w:sz w:val="26"/>
          <w:szCs w:val="26"/>
        </w:rPr>
        <w:t>Литвина В.А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</w:t>
      </w:r>
      <w:r>
        <w:rPr>
          <w:rFonts w:ascii="Times New Roman" w:eastAsia="Times New Roman" w:hAnsi="Times New Roman" w:cs="Times New Roman"/>
          <w:sz w:val="26"/>
          <w:szCs w:val="26"/>
        </w:rPr>
        <w:t>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смягчающих и отягчающих административную ответственность в соответствии со ст.ст. 4.2, 4.3 Кодекса Российской Федерации об административных правонарушениях, мировой судья не находит.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Учитывая установленные обстоятельства, мировой судья считает возможным назначить правонарушителю наказание в виде предупреждения. 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С учётом изложенного, руководствуясь ст.ст. 29.9 ч.1, 29.10, 30.1 Кодекса Российской Федерации об административных правонарушениях, мировой судья</w:t>
      </w:r>
    </w:p>
    <w:p>
      <w:pPr>
        <w:spacing w:before="0" w:after="0"/>
        <w:jc w:val="center"/>
        <w:rPr>
          <w:sz w:val="12"/>
          <w:szCs w:val="12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И Л:</w:t>
      </w:r>
    </w:p>
    <w:p>
      <w:pPr>
        <w:spacing w:before="0" w:after="0"/>
        <w:jc w:val="center"/>
        <w:rPr>
          <w:sz w:val="12"/>
          <w:szCs w:val="12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конкурсного управляющего АО УК «Городское Домо Управление 5» Литвина Виталия Александровича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виновным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ему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административное наказание в виде предупреждения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Нефтеюганский районный суд ХМАО-Югры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rPr>
          <w:sz w:val="26"/>
          <w:szCs w:val="26"/>
        </w:rPr>
      </w:pPr>
    </w:p>
    <w:p>
      <w:pPr>
        <w:tabs>
          <w:tab w:val="left" w:pos="6390"/>
        </w:tabs>
        <w:spacing w:before="0" w:after="0"/>
        <w:ind w:left="283" w:hanging="283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>
      <w:pPr>
        <w:spacing w:before="0" w:after="0"/>
        <w:ind w:left="283" w:hanging="283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Р.В. </w:t>
      </w:r>
      <w:r>
        <w:rPr>
          <w:rFonts w:ascii="Times New Roman" w:eastAsia="Times New Roman" w:hAnsi="Times New Roman" w:cs="Times New Roman"/>
          <w:sz w:val="26"/>
          <w:szCs w:val="26"/>
        </w:rPr>
        <w:t>Агзямова</w:t>
      </w:r>
    </w:p>
    <w:p>
      <w:pPr>
        <w:spacing w:before="0" w:after="0"/>
        <w:rPr>
          <w:sz w:val="40"/>
          <w:szCs w:val="40"/>
        </w:rPr>
      </w:pPr>
    </w:p>
    <w:tbl>
      <w:tblPr>
        <w:tblW w:w="20813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97"/>
        <w:gridCol w:w="5547"/>
        <w:gridCol w:w="4820"/>
        <w:gridCol w:w="5649"/>
      </w:tblGrid>
      <w:tr>
        <w:tblPrEx>
          <w:tblW w:w="20813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9"/>
        </w:trPr>
        <w:tc>
          <w:tcPr>
            <w:tcW w:w="4786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</w:tc>
        <w:tc>
          <w:tcPr>
            <w:tcW w:w="5562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ind w:left="21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ind w:left="263" w:hanging="263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</w:p>
        </w:tc>
        <w:tc>
          <w:tcPr>
            <w:tcW w:w="567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</w:p>
        </w:tc>
      </w:tr>
    </w:tbl>
    <w:p>
      <w:pPr>
        <w:spacing w:before="0" w:after="0"/>
        <w:ind w:left="567" w:hanging="283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44rplc-6">
    <w:name w:val="cat-ExternalSystemDefined grp-44 rplc-6"/>
    <w:basedOn w:val="DefaultParagraphFont"/>
  </w:style>
  <w:style w:type="character" w:customStyle="1" w:styleId="cat-PassportDatagrp-35rplc-7">
    <w:name w:val="cat-PassportData grp-35 rplc-7"/>
    <w:basedOn w:val="DefaultParagraphFont"/>
  </w:style>
  <w:style w:type="character" w:customStyle="1" w:styleId="cat-PassportDatagrp-36rplc-9">
    <w:name w:val="cat-PassportData grp-36 rplc-9"/>
    <w:basedOn w:val="DefaultParagraphFont"/>
  </w:style>
  <w:style w:type="character" w:customStyle="1" w:styleId="cat-ExternalSystemDefinedgrp-43rplc-10">
    <w:name w:val="cat-ExternalSystemDefined grp-43 rplc-10"/>
    <w:basedOn w:val="DefaultParagraphFont"/>
  </w:style>
  <w:style w:type="character" w:customStyle="1" w:styleId="cat-ExternalSystemDefinedgrp-42rplc-11">
    <w:name w:val="cat-ExternalSystemDefined grp-42 rplc-11"/>
    <w:basedOn w:val="DefaultParagraphFont"/>
  </w:style>
  <w:style w:type="character" w:customStyle="1" w:styleId="cat-UserDefinedgrp-45rplc-24">
    <w:name w:val="cat-UserDefined grp-45 rplc-24"/>
    <w:basedOn w:val="DefaultParagraphFont"/>
  </w:style>
  <w:style w:type="character" w:customStyle="1" w:styleId="cat-UserDefinedgrp-46rplc-42">
    <w:name w:val="cat-UserDefined grp-46 rplc-42"/>
    <w:basedOn w:val="DefaultParagraphFont"/>
  </w:style>
  <w:style w:type="character" w:customStyle="1" w:styleId="cat-UserDefinedgrp-47rplc-45">
    <w:name w:val="cat-UserDefined grp-47 rplc-4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